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9C074D" w:rsidRDefault="001A3D15" w:rsidP="008F180B">
      <w:pPr>
        <w:pStyle w:val="Heading1"/>
      </w:pPr>
      <w:bookmarkStart w:id="0" w:name="_Toc448745896"/>
      <w:bookmarkStart w:id="1" w:name="_Toc448754202"/>
      <w:bookmarkStart w:id="2" w:name="_Toc511315144"/>
      <w:bookmarkStart w:id="3" w:name="_Toc29826141"/>
      <w:bookmarkStart w:id="4" w:name="_Toc33706308"/>
      <w:bookmarkStart w:id="5" w:name="_Toc33709230"/>
      <w:r w:rsidRPr="009C074D">
        <w:t>Monitoring</w:t>
      </w:r>
      <w:bookmarkEnd w:id="0"/>
      <w:bookmarkEnd w:id="1"/>
      <w:bookmarkEnd w:id="2"/>
      <w:bookmarkEnd w:id="3"/>
      <w:bookmarkEnd w:id="4"/>
      <w:bookmarkEnd w:id="5"/>
    </w:p>
    <w:p w:rsidR="001A3D15" w:rsidRPr="00BF0AFB" w:rsidRDefault="001A3D15" w:rsidP="001A3D15">
      <w:pPr>
        <w:rPr>
          <w:rStyle w:val="BlueText"/>
        </w:rPr>
      </w:pPr>
      <w:r w:rsidRPr="00BF0AFB">
        <w:rPr>
          <w:rStyle w:val="BlueText"/>
        </w:rPr>
        <w:t xml:space="preserve">Some schools supplement their filtering systems with additional monitoring systems. If this is the case, schools should include information in this section, including – if they wish – details of internal or commercial systems that are in use. They should also ensure that users are informed that monitoring systems are in place. </w:t>
      </w:r>
    </w:p>
    <w:p w:rsidR="001A3D15" w:rsidRPr="00830B8C" w:rsidRDefault="001A3D15" w:rsidP="001A3D15">
      <w:pPr>
        <w:rPr>
          <w:color w:val="0070C0"/>
        </w:rPr>
      </w:pPr>
      <w:r w:rsidRPr="00830B8C">
        <w:t>No filtering system can guarantee 100% protection against access to unsuitable sites. The school will therefore monitor the activities of users on the school network and on school equipment as indicated in the School Online Safety Policy and the Acceptable Use Agreement.</w:t>
      </w:r>
      <w:r w:rsidRPr="00830B8C">
        <w:rPr>
          <w:i/>
        </w:rPr>
        <w:t xml:space="preserve"> Monitoring will take place as follows: </w:t>
      </w:r>
      <w:r w:rsidRPr="00BF0AFB">
        <w:rPr>
          <w:rStyle w:val="BlueText"/>
        </w:rPr>
        <w:t>(details should be inserted if the school so wishes).</w:t>
      </w:r>
      <w:r w:rsidRPr="00830B8C">
        <w:rPr>
          <w:color w:val="0070C0"/>
        </w:rPr>
        <w:t xml:space="preserve"> </w:t>
      </w:r>
    </w:p>
    <w:p w:rsidR="001A3D15" w:rsidRPr="009C074D" w:rsidRDefault="001A3D15" w:rsidP="008F180B">
      <w:pPr>
        <w:pStyle w:val="Heading2"/>
      </w:pPr>
      <w:bookmarkStart w:id="6" w:name="_Toc448745897"/>
      <w:bookmarkStart w:id="7" w:name="_Toc448754203"/>
      <w:bookmarkStart w:id="8" w:name="_Toc29826142"/>
      <w:bookmarkStart w:id="9" w:name="_Toc33706309"/>
      <w:bookmarkStart w:id="10" w:name="_Toc33709231"/>
      <w:r w:rsidRPr="009C074D">
        <w:t>Audit</w:t>
      </w:r>
      <w:r>
        <w:t>/</w:t>
      </w:r>
      <w:r w:rsidRPr="009C074D">
        <w:t>Reporting</w:t>
      </w:r>
      <w:bookmarkEnd w:id="6"/>
      <w:bookmarkEnd w:id="7"/>
      <w:bookmarkEnd w:id="8"/>
      <w:bookmarkEnd w:id="9"/>
      <w:bookmarkEnd w:id="10"/>
      <w:r w:rsidRPr="009C074D">
        <w:t xml:space="preserve"> </w:t>
      </w:r>
    </w:p>
    <w:p w:rsidR="001A3D15" w:rsidRPr="00BF0AFB" w:rsidRDefault="001A3D15" w:rsidP="001A3D15">
      <w:pPr>
        <w:rPr>
          <w:rStyle w:val="BlueText"/>
        </w:rPr>
      </w:pPr>
      <w:r w:rsidRPr="00830B8C">
        <w:t>Logs of filtering change controls and of filtering incidents will be made available to:</w:t>
      </w:r>
      <w:r w:rsidRPr="00830B8C">
        <w:rPr>
          <w:color w:val="0070C0"/>
        </w:rPr>
        <w:t xml:space="preserve"> </w:t>
      </w:r>
      <w:r w:rsidRPr="00BF0AFB">
        <w:rPr>
          <w:rStyle w:val="BlueText"/>
        </w:rPr>
        <w:t>(schools should amend as relevant)</w:t>
      </w:r>
    </w:p>
    <w:p w:rsidR="001A3D15" w:rsidRPr="00830B8C" w:rsidRDefault="001A3D15" w:rsidP="005372A9">
      <w:pPr>
        <w:pStyle w:val="ListParagraph"/>
        <w:numPr>
          <w:ilvl w:val="0"/>
          <w:numId w:val="51"/>
        </w:numPr>
      </w:pPr>
      <w:r w:rsidRPr="00830B8C">
        <w:t xml:space="preserve">the second responsible person </w:t>
      </w:r>
      <w:r w:rsidRPr="00BF0AFB">
        <w:rPr>
          <w:rStyle w:val="BlueText"/>
        </w:rPr>
        <w:t>(insert title)</w:t>
      </w:r>
      <w:r w:rsidRPr="00830B8C">
        <w:rPr>
          <w:color w:val="0070C0"/>
        </w:rPr>
        <w:t xml:space="preserve"> </w:t>
      </w:r>
    </w:p>
    <w:p w:rsidR="001A3D15" w:rsidRPr="00830B8C" w:rsidRDefault="001A3D15" w:rsidP="005372A9">
      <w:pPr>
        <w:pStyle w:val="ListParagraph"/>
        <w:numPr>
          <w:ilvl w:val="0"/>
          <w:numId w:val="51"/>
        </w:numPr>
      </w:pPr>
      <w:r w:rsidRPr="00830B8C">
        <w:t>Online Safety Group</w:t>
      </w:r>
    </w:p>
    <w:p w:rsidR="001A3D15" w:rsidRPr="00830B8C" w:rsidRDefault="001A3D15" w:rsidP="005372A9">
      <w:pPr>
        <w:pStyle w:val="ListParagraph"/>
        <w:numPr>
          <w:ilvl w:val="0"/>
          <w:numId w:val="51"/>
        </w:numPr>
      </w:pPr>
      <w:r w:rsidRPr="00830B8C">
        <w:t>Online Safety Governor/Governors committee</w:t>
      </w:r>
    </w:p>
    <w:p w:rsidR="001A3D15" w:rsidRPr="00830B8C" w:rsidRDefault="001A3D15" w:rsidP="005372A9">
      <w:pPr>
        <w:pStyle w:val="ListParagraph"/>
        <w:numPr>
          <w:ilvl w:val="0"/>
          <w:numId w:val="51"/>
        </w:numPr>
      </w:pPr>
      <w:r w:rsidRPr="00830B8C">
        <w:t>External Filtering provider/Local Authority/Police on request</w:t>
      </w:r>
    </w:p>
    <w:p w:rsidR="001A3D15" w:rsidRPr="00BF0AFB" w:rsidRDefault="001A3D15" w:rsidP="001A3D15">
      <w:pPr>
        <w:rPr>
          <w:rStyle w:val="BlueText"/>
        </w:rPr>
      </w:pPr>
      <w:r w:rsidRPr="00830B8C">
        <w:t xml:space="preserve">The filtering policy will be reviewed in the response to the evidence provided by the audit logs of the suitability of the current provision. </w:t>
      </w:r>
      <w:r w:rsidRPr="00BF0AFB">
        <w:rPr>
          <w:rStyle w:val="BlueText"/>
        </w:rPr>
        <w:t>(The evidence might show a large number of requests to remove the filtering from sites – in which case schools might question whether their current level of filtering is too restrictive for educational purposes. Alternatively, a large number of incidents where users try to subvert the filtering system might suggest that improved monitoring/disciplinary action might be necessary).</w:t>
      </w:r>
    </w:p>
    <w:p w:rsidR="001A3D15" w:rsidRPr="00830B8C" w:rsidRDefault="007E2ADF" w:rsidP="001A3D15">
      <w:hyperlink r:id="rId8" w:history="1">
        <w:r w:rsidR="001A3D15" w:rsidRPr="00991126">
          <w:rPr>
            <w:rStyle w:val="Hyperlink"/>
          </w:rPr>
          <w:t xml:space="preserve">Somerset Guidance for schools – questions for technical support </w:t>
        </w:r>
      </w:hyperlink>
      <w:r w:rsidR="001A3D15" w:rsidRPr="00830B8C">
        <w:t xml:space="preserve"> – this checklist is particularly useful where a school uses external providers for its technical support/security.</w:t>
      </w:r>
    </w:p>
    <w:p w:rsidR="001A3D15" w:rsidRPr="00830B8C" w:rsidRDefault="001A3D15" w:rsidP="001A3D15">
      <w:r w:rsidRPr="00830B8C">
        <w:t xml:space="preserve">SWGfL provides a site for schools to test their filtering to ensure that illegal materials cannot be accessed: </w:t>
      </w:r>
      <w:hyperlink r:id="rId9" w:history="1">
        <w:r w:rsidRPr="00991126">
          <w:rPr>
            <w:rStyle w:val="Hyperlink"/>
          </w:rPr>
          <w:t>SWGfL Test Filtering</w:t>
        </w:r>
      </w:hyperlink>
      <w:r w:rsidRPr="00830B8C">
        <w:t xml:space="preserve"> </w:t>
      </w:r>
    </w:p>
    <w:p w:rsidR="001A3D15" w:rsidRDefault="001A3D15" w:rsidP="001A3D15">
      <w:bookmarkStart w:id="11" w:name="_GoBack"/>
      <w:bookmarkEnd w:id="11"/>
    </w:p>
    <w:sectPr w:rsidR="001A3D15" w:rsidSect="006F65C4">
      <w:headerReference w:type="default" r:id="rId10"/>
      <w:footerReference w:type="default" r:id="rId11"/>
      <w:headerReference w:type="first" r:id="rId12"/>
      <w:footerReference w:type="first" r:id="rId13"/>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CE2F84C5-7D25-4F86-A1F4-2DD8599139EB}"/>
    <w:embedItalic r:id="rId2" w:fontKey="{CB830BD5-7111-4CAF-A260-AB1FA1DC5FFE}"/>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7E2ADF">
      <w:rPr>
        <w:noProof/>
        <w:sz w:val="16"/>
        <w:szCs w:val="16"/>
      </w:rPr>
      <w:t>1</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7E2ADF"/>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D06C0"/>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merset.org.uk/sites/edtech/eSafety/Leading/Questions%20for%20Technical%20Support%20201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stfiltering.com/"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1217-8097-42E1-A6A2-2E8D29F1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2020-02-28T12:14:00Z</dcterms:created>
  <dcterms:modified xsi:type="dcterms:W3CDTF">2020-02-28T12:43:00Z</dcterms:modified>
</cp:coreProperties>
</file>